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4B" w:rsidRPr="002C7C57" w:rsidRDefault="00637F7A" w:rsidP="006A364B">
      <w:pPr>
        <w:jc w:val="center"/>
        <w:rPr>
          <w:b/>
          <w:sz w:val="32"/>
          <w:szCs w:val="32"/>
        </w:rPr>
      </w:pPr>
      <w:r>
        <w:rPr>
          <w:b/>
          <w:noProof/>
          <w:sz w:val="32"/>
          <w:szCs w:val="32"/>
          <w:lang w:eastAsia="en-GB"/>
        </w:rPr>
        <w:drawing>
          <wp:anchor distT="0" distB="0" distL="114300" distR="114300" simplePos="0" relativeHeight="251661312" behindDoc="0" locked="0" layoutInCell="1" allowOverlap="1" wp14:anchorId="5E52C1C6" wp14:editId="27E0BD12">
            <wp:simplePos x="0" y="0"/>
            <wp:positionH relativeFrom="column">
              <wp:posOffset>5095875</wp:posOffset>
            </wp:positionH>
            <wp:positionV relativeFrom="paragraph">
              <wp:posOffset>-45720</wp:posOffset>
            </wp:positionV>
            <wp:extent cx="1190625" cy="723900"/>
            <wp:effectExtent l="0" t="0" r="9525" b="0"/>
            <wp:wrapNone/>
            <wp:docPr id="2" name="Picture 2" descr="S:\Business Support\Marketing\LOGOS\British Orienteering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Support\Marketing\LOGOS\British Orienteering Logo Low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4B" w:rsidRPr="002C7C57">
        <w:rPr>
          <w:b/>
          <w:sz w:val="32"/>
          <w:szCs w:val="32"/>
        </w:rPr>
        <w:t>Leeds University Orienteering Club</w:t>
      </w:r>
    </w:p>
    <w:p w:rsidR="006A364B" w:rsidRPr="00B5232B" w:rsidRDefault="006A364B">
      <w:pPr>
        <w:rPr>
          <w:b/>
        </w:rPr>
      </w:pPr>
      <w:r w:rsidRPr="00B5232B">
        <w:rPr>
          <w:b/>
        </w:rPr>
        <w:t>When it started?</w:t>
      </w:r>
    </w:p>
    <w:p w:rsidR="006A364B" w:rsidRPr="002C7C57" w:rsidRDefault="006A364B" w:rsidP="006A364B">
      <w:pPr>
        <w:jc w:val="both"/>
      </w:pPr>
      <w:r w:rsidRPr="002C7C57">
        <w:t>The club formed in September 2011 just before the influx of new students. The University of Leeds has a rich history of orienteering</w:t>
      </w:r>
      <w:r w:rsidR="00187243">
        <w:t>,</w:t>
      </w:r>
      <w:r w:rsidRPr="002C7C57">
        <w:t xml:space="preserve"> </w:t>
      </w:r>
      <w:r w:rsidR="00187243">
        <w:t>however because of the</w:t>
      </w:r>
      <w:r w:rsidRPr="002C7C57">
        <w:t xml:space="preserve"> triennial turnover of </w:t>
      </w:r>
      <w:r w:rsidR="00637F7A" w:rsidRPr="002C7C57">
        <w:t>students;</w:t>
      </w:r>
      <w:r w:rsidR="003D0971" w:rsidRPr="002C7C57">
        <w:t xml:space="preserve"> LUOC had previously</w:t>
      </w:r>
      <w:r w:rsidRPr="002C7C57">
        <w:t xml:space="preserve"> dissolved </w:t>
      </w:r>
      <w:r w:rsidR="00187243">
        <w:t>over</w:t>
      </w:r>
      <w:r w:rsidRPr="002C7C57">
        <w:t xml:space="preserve"> time. The location of the campus and surrounding area </w:t>
      </w:r>
      <w:r w:rsidR="003D0971" w:rsidRPr="002C7C57">
        <w:t>is textbook o</w:t>
      </w:r>
      <w:r w:rsidRPr="002C7C57">
        <w:t xml:space="preserve">rienteering </w:t>
      </w:r>
      <w:r w:rsidR="003D0971" w:rsidRPr="002C7C57">
        <w:t>terrain and</w:t>
      </w:r>
      <w:r w:rsidRPr="002C7C57">
        <w:t xml:space="preserve"> with a well-established community club nearby, the Airienteers</w:t>
      </w:r>
      <w:r w:rsidR="003D0971" w:rsidRPr="002C7C57">
        <w:t>, the foundations were there</w:t>
      </w:r>
      <w:r w:rsidRPr="002C7C57">
        <w:t xml:space="preserve">. </w:t>
      </w:r>
      <w:r w:rsidR="00187243">
        <w:t>T</w:t>
      </w:r>
      <w:r w:rsidRPr="002C7C57">
        <w:t>he club</w:t>
      </w:r>
      <w:r w:rsidR="003D0971" w:rsidRPr="002C7C57">
        <w:t xml:space="preserve"> was founded</w:t>
      </w:r>
      <w:r w:rsidRPr="002C7C57">
        <w:t xml:space="preserve"> with a vision to provide access</w:t>
      </w:r>
      <w:r w:rsidR="003D0971" w:rsidRPr="002C7C57">
        <w:t xml:space="preserve"> to</w:t>
      </w:r>
      <w:r w:rsidRPr="002C7C57">
        <w:t xml:space="preserve"> orienteering.</w:t>
      </w:r>
    </w:p>
    <w:p w:rsidR="006A364B" w:rsidRPr="00B5232B" w:rsidRDefault="006A364B">
      <w:pPr>
        <w:rPr>
          <w:b/>
        </w:rPr>
      </w:pPr>
      <w:r w:rsidRPr="00B5232B">
        <w:rPr>
          <w:b/>
        </w:rPr>
        <w:t>What it has done?</w:t>
      </w:r>
    </w:p>
    <w:p w:rsidR="00306D8C" w:rsidRDefault="00306D8C" w:rsidP="00EB5B6B">
      <w:pPr>
        <w:jc w:val="both"/>
      </w:pPr>
      <w:r w:rsidRPr="002C7C57">
        <w:t>In its first year, the club attracted 13 paid members and saw up to 35 students try out orienteering over the two semesters. We competed at BUCS and came 8</w:t>
      </w:r>
      <w:r w:rsidRPr="002C7C57">
        <w:rPr>
          <w:vertAlign w:val="superscript"/>
        </w:rPr>
        <w:t>th</w:t>
      </w:r>
      <w:r w:rsidRPr="002C7C57">
        <w:t xml:space="preserve"> out of 16 which awarded our University 1 BUCS point.</w:t>
      </w:r>
    </w:p>
    <w:p w:rsidR="002C7C57" w:rsidRPr="002C7C57" w:rsidRDefault="002C7C57" w:rsidP="00EB5B6B">
      <w:pPr>
        <w:jc w:val="both"/>
      </w:pPr>
      <w:r w:rsidRPr="002C7C57">
        <w:t>At the end of semester 1 in year two, we now have 32 paid members and have already had 45 students and 1 non-student join our training sessions and events. At the beginning of year two, 5 objectives were set to be achieved by the end of the academic year.</w:t>
      </w:r>
    </w:p>
    <w:p w:rsidR="002C7C57" w:rsidRPr="00B5232B" w:rsidRDefault="002C7C57" w:rsidP="00EB5B6B">
      <w:pPr>
        <w:jc w:val="both"/>
        <w:rPr>
          <w:rFonts w:cs="Times New Roman"/>
          <w:b/>
        </w:rPr>
      </w:pPr>
      <w:r w:rsidRPr="00B5232B">
        <w:rPr>
          <w:rFonts w:cs="Times New Roman"/>
          <w:b/>
        </w:rPr>
        <w:t>Objectives for Year 2?</w:t>
      </w:r>
    </w:p>
    <w:p w:rsidR="002C7C57" w:rsidRPr="002C7C57" w:rsidRDefault="002C7C57" w:rsidP="00EB5B6B">
      <w:pPr>
        <w:pStyle w:val="ListParagraph"/>
        <w:numPr>
          <w:ilvl w:val="0"/>
          <w:numId w:val="1"/>
        </w:numPr>
        <w:jc w:val="both"/>
        <w:rPr>
          <w:rFonts w:cs="Times New Roman"/>
        </w:rPr>
      </w:pPr>
      <w:r w:rsidRPr="002C7C57">
        <w:rPr>
          <w:rFonts w:cs="Times New Roman"/>
        </w:rPr>
        <w:t xml:space="preserve">To have 25 paying members </w:t>
      </w:r>
    </w:p>
    <w:p w:rsidR="002C7C57" w:rsidRPr="002C7C57" w:rsidRDefault="002C7C57" w:rsidP="00EB5B6B">
      <w:pPr>
        <w:pStyle w:val="ListParagraph"/>
        <w:numPr>
          <w:ilvl w:val="0"/>
          <w:numId w:val="1"/>
        </w:numPr>
        <w:jc w:val="both"/>
        <w:rPr>
          <w:rFonts w:cs="Times New Roman"/>
        </w:rPr>
      </w:pPr>
      <w:r w:rsidRPr="002C7C57">
        <w:rPr>
          <w:rFonts w:cs="Times New Roman"/>
        </w:rPr>
        <w:t>To have 15 regular members</w:t>
      </w:r>
    </w:p>
    <w:p w:rsidR="002C7C57" w:rsidRPr="002C7C57" w:rsidRDefault="002C7C57" w:rsidP="00EB5B6B">
      <w:pPr>
        <w:pStyle w:val="ListParagraph"/>
        <w:numPr>
          <w:ilvl w:val="0"/>
          <w:numId w:val="1"/>
        </w:numPr>
        <w:jc w:val="both"/>
        <w:rPr>
          <w:rFonts w:cs="Times New Roman"/>
        </w:rPr>
      </w:pPr>
      <w:r w:rsidRPr="002C7C57">
        <w:rPr>
          <w:rFonts w:cs="Times New Roman"/>
        </w:rPr>
        <w:t>To attract 2 or more members from outside of the University</w:t>
      </w:r>
    </w:p>
    <w:p w:rsidR="002C7C57" w:rsidRPr="002C7C57" w:rsidRDefault="002C7C57" w:rsidP="00EB5B6B">
      <w:pPr>
        <w:pStyle w:val="ListParagraph"/>
        <w:numPr>
          <w:ilvl w:val="0"/>
          <w:numId w:val="1"/>
        </w:numPr>
        <w:jc w:val="both"/>
        <w:rPr>
          <w:rFonts w:cs="Times New Roman"/>
        </w:rPr>
      </w:pPr>
      <w:r w:rsidRPr="002C7C57">
        <w:rPr>
          <w:rFonts w:cs="Times New Roman"/>
        </w:rPr>
        <w:t>To increase inter-society relations, more specifically commit to joint memberships and/or joint weekend trips</w:t>
      </w:r>
    </w:p>
    <w:p w:rsidR="002C7C57" w:rsidRPr="002C7C57" w:rsidRDefault="00B5232B" w:rsidP="00EB5B6B">
      <w:pPr>
        <w:pStyle w:val="ListParagraph"/>
        <w:numPr>
          <w:ilvl w:val="0"/>
          <w:numId w:val="1"/>
        </w:numPr>
        <w:jc w:val="both"/>
        <w:rPr>
          <w:rFonts w:cs="Times New Roman"/>
        </w:rPr>
      </w:pPr>
      <w:r>
        <w:rPr>
          <w:noProof/>
        </w:rPr>
        <w:drawing>
          <wp:anchor distT="0" distB="0" distL="114300" distR="114300" simplePos="0" relativeHeight="251658240" behindDoc="1" locked="0" layoutInCell="1" allowOverlap="1" wp14:anchorId="0D119760" wp14:editId="76E904D4">
            <wp:simplePos x="0" y="0"/>
            <wp:positionH relativeFrom="column">
              <wp:posOffset>-100330</wp:posOffset>
            </wp:positionH>
            <wp:positionV relativeFrom="paragraph">
              <wp:posOffset>456565</wp:posOffset>
            </wp:positionV>
            <wp:extent cx="6003925" cy="355346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C7C57" w:rsidRPr="002C7C57">
        <w:rPr>
          <w:rFonts w:cs="Times New Roman"/>
        </w:rPr>
        <w:t>To maintain regular training and good practice to increase the orienteering performance of the club’s members to improve achievement in BUCS</w:t>
      </w: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B5232B" w:rsidRDefault="00B5232B" w:rsidP="00EB5B6B">
      <w:pPr>
        <w:jc w:val="both"/>
      </w:pPr>
    </w:p>
    <w:p w:rsidR="008103D1" w:rsidRDefault="008103D1" w:rsidP="00EB5B6B">
      <w:pPr>
        <w:jc w:val="both"/>
      </w:pPr>
      <w:r>
        <w:rPr>
          <w:noProof/>
          <w:lang w:eastAsia="en-GB"/>
        </w:rPr>
        <mc:AlternateContent>
          <mc:Choice Requires="wps">
            <w:drawing>
              <wp:anchor distT="0" distB="0" distL="114300" distR="114300" simplePos="0" relativeHeight="251660288" behindDoc="0" locked="0" layoutInCell="1" allowOverlap="1" wp14:anchorId="498E2117" wp14:editId="6C98442C">
                <wp:simplePos x="0" y="0"/>
                <wp:positionH relativeFrom="column">
                  <wp:posOffset>723900</wp:posOffset>
                </wp:positionH>
                <wp:positionV relativeFrom="paragraph">
                  <wp:posOffset>263525</wp:posOffset>
                </wp:positionV>
                <wp:extent cx="511492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47650"/>
                        </a:xfrm>
                        <a:prstGeom prst="rect">
                          <a:avLst/>
                        </a:prstGeom>
                        <a:noFill/>
                        <a:ln w="9525">
                          <a:noFill/>
                          <a:miter lim="800000"/>
                          <a:headEnd/>
                          <a:tailEnd/>
                        </a:ln>
                      </wps:spPr>
                      <wps:txbx>
                        <w:txbxContent>
                          <w:p w:rsidR="008103D1" w:rsidRDefault="008103D1">
                            <w:r w:rsidRPr="008103D1">
                              <w:rPr>
                                <w:b/>
                              </w:rPr>
                              <w:t>Figure 1.</w:t>
                            </w:r>
                            <w:r>
                              <w:t xml:space="preserve"> Attendance to the weekly sessions for semester 1 over two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20.75pt;width:402.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" filled="f" stroked="f">
                <v:textbox>
                  <w:txbxContent>
                    <w:p w:rsidR="008103D1" w:rsidRDefault="008103D1">
                      <w:r w:rsidRPr="008103D1">
                        <w:rPr>
                          <w:b/>
                        </w:rPr>
                        <w:t>Figure 1.</w:t>
                      </w:r>
                      <w:r>
                        <w:t xml:space="preserve"> Attendance to the weekly sessions for semester 1 over two years. </w:t>
                      </w:r>
                    </w:p>
                  </w:txbxContent>
                </v:textbox>
              </v:shape>
            </w:pict>
          </mc:Fallback>
        </mc:AlternateContent>
      </w:r>
    </w:p>
    <w:p w:rsidR="008103D1" w:rsidRDefault="008103D1" w:rsidP="00EB5B6B">
      <w:pPr>
        <w:jc w:val="both"/>
      </w:pPr>
    </w:p>
    <w:p w:rsidR="00637F7A" w:rsidRDefault="002C7C57" w:rsidP="00EB5B6B">
      <w:pPr>
        <w:jc w:val="both"/>
      </w:pPr>
      <w:r>
        <w:t>Objectives 1, 2 and 5 have already been attained.</w:t>
      </w:r>
      <w:r w:rsidR="00EB5B6B">
        <w:t xml:space="preserve"> As previously stated we have 32 paid members currently.</w:t>
      </w:r>
      <w:r>
        <w:t xml:space="preserve"> Figure 1 </w:t>
      </w:r>
      <w:r w:rsidR="00EB5B6B">
        <w:t>compares</w:t>
      </w:r>
      <w:r>
        <w:t xml:space="preserve"> the attendance to sessions on a weekly basis for years 1 and 2 (2011 &amp; 2012). The attendance has been above 15 members regularly</w:t>
      </w:r>
      <w:r w:rsidR="00EB5B6B">
        <w:t xml:space="preserve"> (dashed line)</w:t>
      </w:r>
      <w:r>
        <w:t xml:space="preserve"> for</w:t>
      </w:r>
      <w:r w:rsidR="00EB5B6B">
        <w:t xml:space="preserve"> year 2 (semester 1)</w:t>
      </w:r>
      <w:r>
        <w:t>.</w:t>
      </w:r>
      <w:r w:rsidR="00EB5B6B">
        <w:t xml:space="preserve"> </w:t>
      </w:r>
    </w:p>
    <w:p w:rsidR="00EB5B6B" w:rsidRDefault="00EB5B6B" w:rsidP="00EB5B6B">
      <w:pPr>
        <w:jc w:val="both"/>
      </w:pPr>
      <w:r>
        <w:t xml:space="preserve">Finally, we have been undertaking weekly </w:t>
      </w:r>
      <w:r w:rsidR="00637F7A">
        <w:t>sessions to</w:t>
      </w:r>
      <w:r>
        <w:t xml:space="preserve"> </w:t>
      </w:r>
      <w:r w:rsidR="00187243">
        <w:t>aid our members in</w:t>
      </w:r>
      <w:r>
        <w:t xml:space="preserve"> improv</w:t>
      </w:r>
      <w:r w:rsidR="00187243">
        <w:t>ing</w:t>
      </w:r>
      <w:r>
        <w:t xml:space="preserve"> their orienteering skills. </w:t>
      </w:r>
      <w:r w:rsidR="00187243">
        <w:t>The club is</w:t>
      </w:r>
      <w:r>
        <w:t xml:space="preserve"> taking 18 members (fully paid) to the Edinburgh Big Weekend in January 2013. We also have 14 members (fully paid) signed up to attend BUCS in February 2013. Therefore, the potential to improve our BUCS standing is feasible; objective 5 is an on-going objective. </w:t>
      </w:r>
    </w:p>
    <w:p w:rsidR="002C7C57" w:rsidRDefault="00EB5B6B" w:rsidP="00EB5B6B">
      <w:pPr>
        <w:jc w:val="both"/>
      </w:pPr>
      <w:r>
        <w:t>Objectives 2 and 3 are yet to be fulfilled. We already have 1 non-student member but we ar</w:t>
      </w:r>
      <w:r w:rsidR="00187243">
        <w:t>e still looking to increase this</w:t>
      </w:r>
      <w:r>
        <w:t>. Also, our inter-society relations are growing; however no substantial progress has been made. These two objectives will be the main focus of next semester.</w:t>
      </w:r>
      <w:r w:rsidR="002C7C57">
        <w:t xml:space="preserve"> </w:t>
      </w:r>
    </w:p>
    <w:p w:rsidR="006A364B" w:rsidRPr="00B5232B" w:rsidRDefault="006A364B">
      <w:pPr>
        <w:rPr>
          <w:b/>
        </w:rPr>
      </w:pPr>
      <w:r w:rsidRPr="00B5232B">
        <w:rPr>
          <w:b/>
        </w:rPr>
        <w:t>What next?</w:t>
      </w:r>
    </w:p>
    <w:p w:rsidR="00592F7B" w:rsidRDefault="00592F7B" w:rsidP="00B65F9A">
      <w:pPr>
        <w:jc w:val="both"/>
      </w:pPr>
      <w:r>
        <w:t>The risk of the club dissolving after this year is as high as it is</w:t>
      </w:r>
      <w:r w:rsidR="00637F7A">
        <w:t xml:space="preserve"> in</w:t>
      </w:r>
      <w:bookmarkStart w:id="0" w:name="_GoBack"/>
      <w:bookmarkEnd w:id="0"/>
      <w:r>
        <w:t xml:space="preserve"> any year and steps need to be taken to prevent </w:t>
      </w:r>
      <w:r w:rsidR="00187243">
        <w:t>dissolution</w:t>
      </w:r>
      <w:r>
        <w:t xml:space="preserve">. The clubs committee will create a standard template for running the club on a yearly basis. For example, we know that </w:t>
      </w:r>
      <w:r w:rsidR="00187243">
        <w:t>the club will</w:t>
      </w:r>
      <w:r>
        <w:t xml:space="preserve"> be attending Airienteer event</w:t>
      </w:r>
      <w:r w:rsidR="00187243">
        <w:t>s</w:t>
      </w:r>
      <w:r>
        <w:t xml:space="preserve"> next </w:t>
      </w:r>
      <w:r w:rsidR="00637F7A">
        <w:t>year;</w:t>
      </w:r>
      <w:r>
        <w:t xml:space="preserve"> therefore we will include these into next year’s plan. We also know that BUCS will be occurring so we can input when that will be and when to start asking members to sign up. If planning for next year is done this year</w:t>
      </w:r>
      <w:r w:rsidR="00187243">
        <w:t>, then the task of</w:t>
      </w:r>
      <w:r>
        <w:t xml:space="preserve"> taking on the club will seem less daunting for prospective committee members.</w:t>
      </w:r>
    </w:p>
    <w:p w:rsidR="006A364B" w:rsidRDefault="00592F7B" w:rsidP="00B65F9A">
      <w:pPr>
        <w:jc w:val="both"/>
      </w:pPr>
      <w:r>
        <w:t xml:space="preserve">We intend to hold our own orienteering event for other universities to attend. This was scheduled for Jan 2013, however due to the </w:t>
      </w:r>
      <w:r w:rsidR="00B65F9A">
        <w:t xml:space="preserve">Edinburgh Big </w:t>
      </w:r>
      <w:r w:rsidR="00637F7A">
        <w:t>Weekend;</w:t>
      </w:r>
      <w:r w:rsidR="00B65F9A">
        <w:t xml:space="preserve"> this will be postponed until next year. </w:t>
      </w:r>
      <w:r>
        <w:t xml:space="preserve"> </w:t>
      </w:r>
    </w:p>
    <w:p w:rsidR="008103D1" w:rsidRDefault="008103D1" w:rsidP="00B65F9A">
      <w:pPr>
        <w:jc w:val="both"/>
      </w:pPr>
    </w:p>
    <w:p w:rsidR="008103D1" w:rsidRDefault="008103D1" w:rsidP="008103D1">
      <w:pPr>
        <w:spacing w:after="0"/>
        <w:jc w:val="both"/>
      </w:pPr>
      <w:r>
        <w:t>Ashley Stratton-Powell</w:t>
      </w:r>
    </w:p>
    <w:p w:rsidR="008103D1" w:rsidRDefault="008103D1" w:rsidP="008103D1">
      <w:pPr>
        <w:spacing w:after="0"/>
        <w:jc w:val="both"/>
      </w:pPr>
      <w:r>
        <w:t>President</w:t>
      </w:r>
    </w:p>
    <w:p w:rsidR="008103D1" w:rsidRDefault="008103D1" w:rsidP="008103D1">
      <w:pPr>
        <w:spacing w:after="0"/>
        <w:jc w:val="both"/>
      </w:pPr>
      <w:r>
        <w:t>LUUOC</w:t>
      </w:r>
    </w:p>
    <w:sectPr w:rsidR="008103D1" w:rsidSect="008103D1">
      <w:foot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7A" w:rsidRDefault="00637F7A" w:rsidP="00637F7A">
      <w:pPr>
        <w:spacing w:after="0" w:line="240" w:lineRule="auto"/>
      </w:pPr>
      <w:r>
        <w:separator/>
      </w:r>
    </w:p>
  </w:endnote>
  <w:endnote w:type="continuationSeparator" w:id="0">
    <w:p w:rsidR="00637F7A" w:rsidRDefault="00637F7A" w:rsidP="0063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90284"/>
      <w:docPartObj>
        <w:docPartGallery w:val="Page Numbers (Bottom of Page)"/>
        <w:docPartUnique/>
      </w:docPartObj>
    </w:sdtPr>
    <w:sdtEndPr>
      <w:rPr>
        <w:noProof/>
      </w:rPr>
    </w:sdtEndPr>
    <w:sdtContent>
      <w:p w:rsidR="00637F7A" w:rsidRDefault="00637F7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Success Stories Leeds University Orienteering Club</w:t>
        </w:r>
      </w:p>
    </w:sdtContent>
  </w:sdt>
  <w:p w:rsidR="00637F7A" w:rsidRDefault="0063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7A" w:rsidRDefault="00637F7A" w:rsidP="00637F7A">
      <w:pPr>
        <w:spacing w:after="0" w:line="240" w:lineRule="auto"/>
      </w:pPr>
      <w:r>
        <w:separator/>
      </w:r>
    </w:p>
  </w:footnote>
  <w:footnote w:type="continuationSeparator" w:id="0">
    <w:p w:rsidR="00637F7A" w:rsidRDefault="00637F7A" w:rsidP="00637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7FC"/>
    <w:multiLevelType w:val="hybridMultilevel"/>
    <w:tmpl w:val="95D8F40E"/>
    <w:lvl w:ilvl="0" w:tplc="5830B0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1A"/>
    <w:rsid w:val="00187243"/>
    <w:rsid w:val="001E59DD"/>
    <w:rsid w:val="002C7C57"/>
    <w:rsid w:val="00306D8C"/>
    <w:rsid w:val="003D0971"/>
    <w:rsid w:val="00592F7B"/>
    <w:rsid w:val="00637F7A"/>
    <w:rsid w:val="006A364B"/>
    <w:rsid w:val="0073331A"/>
    <w:rsid w:val="008103D1"/>
    <w:rsid w:val="00B5232B"/>
    <w:rsid w:val="00B65F9A"/>
    <w:rsid w:val="00D607A3"/>
    <w:rsid w:val="00EB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1A"/>
    <w:rPr>
      <w:rFonts w:ascii="Tahoma" w:hAnsi="Tahoma" w:cs="Tahoma"/>
      <w:sz w:val="16"/>
      <w:szCs w:val="16"/>
    </w:rPr>
  </w:style>
  <w:style w:type="paragraph" w:styleId="ListParagraph">
    <w:name w:val="List Paragraph"/>
    <w:basedOn w:val="Normal"/>
    <w:uiPriority w:val="34"/>
    <w:qFormat/>
    <w:rsid w:val="002C7C57"/>
    <w:pPr>
      <w:ind w:left="720"/>
      <w:contextualSpacing/>
    </w:pPr>
    <w:rPr>
      <w:rFonts w:eastAsiaTheme="minorEastAsia"/>
      <w:lang w:eastAsia="en-GB"/>
    </w:rPr>
  </w:style>
  <w:style w:type="paragraph" w:styleId="Header">
    <w:name w:val="header"/>
    <w:basedOn w:val="Normal"/>
    <w:link w:val="HeaderChar"/>
    <w:uiPriority w:val="99"/>
    <w:unhideWhenUsed/>
    <w:rsid w:val="0063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7A"/>
  </w:style>
  <w:style w:type="paragraph" w:styleId="Footer">
    <w:name w:val="footer"/>
    <w:basedOn w:val="Normal"/>
    <w:link w:val="FooterChar"/>
    <w:uiPriority w:val="99"/>
    <w:unhideWhenUsed/>
    <w:rsid w:val="0063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1A"/>
    <w:rPr>
      <w:rFonts w:ascii="Tahoma" w:hAnsi="Tahoma" w:cs="Tahoma"/>
      <w:sz w:val="16"/>
      <w:szCs w:val="16"/>
    </w:rPr>
  </w:style>
  <w:style w:type="paragraph" w:styleId="ListParagraph">
    <w:name w:val="List Paragraph"/>
    <w:basedOn w:val="Normal"/>
    <w:uiPriority w:val="34"/>
    <w:qFormat/>
    <w:rsid w:val="002C7C57"/>
    <w:pPr>
      <w:ind w:left="720"/>
      <w:contextualSpacing/>
    </w:pPr>
    <w:rPr>
      <w:rFonts w:eastAsiaTheme="minorEastAsia"/>
      <w:lang w:eastAsia="en-GB"/>
    </w:rPr>
  </w:style>
  <w:style w:type="paragraph" w:styleId="Header">
    <w:name w:val="header"/>
    <w:basedOn w:val="Normal"/>
    <w:link w:val="HeaderChar"/>
    <w:uiPriority w:val="99"/>
    <w:unhideWhenUsed/>
    <w:rsid w:val="0063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7A"/>
  </w:style>
  <w:style w:type="paragraph" w:styleId="Footer">
    <w:name w:val="footer"/>
    <w:basedOn w:val="Normal"/>
    <w:link w:val="FooterChar"/>
    <w:uiPriority w:val="99"/>
    <w:unhideWhenUsed/>
    <w:rsid w:val="0063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904354234938"/>
          <c:y val="2.1810291940812618E-2"/>
          <c:w val="0.87347811115447305"/>
          <c:h val="0.86350191300714274"/>
        </c:manualLayout>
      </c:layout>
      <c:scatterChart>
        <c:scatterStyle val="smoothMarker"/>
        <c:varyColors val="0"/>
        <c:ser>
          <c:idx val="0"/>
          <c:order val="0"/>
          <c:tx>
            <c:v>2011 Semester 1</c:v>
          </c:tx>
          <c:spPr>
            <a:ln>
              <a:noFill/>
            </a:ln>
          </c:spPr>
          <c:marker>
            <c:symbol val="diamond"/>
            <c:size val="5"/>
          </c:marker>
          <c:trendline>
            <c:spPr>
              <a:ln w="19050">
                <a:solidFill>
                  <a:schemeClr val="accent1"/>
                </a:solidFill>
              </a:ln>
            </c:spPr>
            <c:trendlineType val="log"/>
            <c:dispRSqr val="0"/>
            <c:dispEq val="0"/>
          </c:trendline>
          <c:xVal>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Sheet1!$B$2:$B$12</c:f>
              <c:numCache>
                <c:formatCode>General</c:formatCode>
                <c:ptCount val="11"/>
                <c:pt idx="0">
                  <c:v>21</c:v>
                </c:pt>
                <c:pt idx="1">
                  <c:v>14</c:v>
                </c:pt>
                <c:pt idx="2">
                  <c:v>13</c:v>
                </c:pt>
                <c:pt idx="3">
                  <c:v>9</c:v>
                </c:pt>
                <c:pt idx="4">
                  <c:v>14</c:v>
                </c:pt>
                <c:pt idx="5">
                  <c:v>13</c:v>
                </c:pt>
                <c:pt idx="6">
                  <c:v>13</c:v>
                </c:pt>
                <c:pt idx="7">
                  <c:v>13</c:v>
                </c:pt>
                <c:pt idx="8">
                  <c:v>10</c:v>
                </c:pt>
                <c:pt idx="9">
                  <c:v>12</c:v>
                </c:pt>
                <c:pt idx="10">
                  <c:v>10</c:v>
                </c:pt>
              </c:numCache>
            </c:numRef>
          </c:yVal>
          <c:smooth val="1"/>
        </c:ser>
        <c:ser>
          <c:idx val="1"/>
          <c:order val="1"/>
          <c:tx>
            <c:v>2012 Semester 1</c:v>
          </c:tx>
          <c:spPr>
            <a:ln>
              <a:noFill/>
            </a:ln>
          </c:spPr>
          <c:marker>
            <c:symbol val="square"/>
            <c:size val="4"/>
          </c:marker>
          <c:trendline>
            <c:spPr>
              <a:ln w="19050">
                <a:solidFill>
                  <a:schemeClr val="accent2"/>
                </a:solidFill>
              </a:ln>
            </c:spPr>
            <c:trendlineType val="log"/>
            <c:dispRSqr val="0"/>
            <c:dispEq val="0"/>
          </c:trendline>
          <c:xVal>
            <c:numRef>
              <c:f>Sheet1!$A$2:$A$10</c:f>
              <c:numCache>
                <c:formatCode>General</c:formatCode>
                <c:ptCount val="9"/>
                <c:pt idx="0">
                  <c:v>1</c:v>
                </c:pt>
                <c:pt idx="1">
                  <c:v>2</c:v>
                </c:pt>
                <c:pt idx="2">
                  <c:v>3</c:v>
                </c:pt>
                <c:pt idx="3">
                  <c:v>4</c:v>
                </c:pt>
                <c:pt idx="4">
                  <c:v>5</c:v>
                </c:pt>
                <c:pt idx="5">
                  <c:v>6</c:v>
                </c:pt>
                <c:pt idx="6">
                  <c:v>7</c:v>
                </c:pt>
                <c:pt idx="7">
                  <c:v>8</c:v>
                </c:pt>
                <c:pt idx="8">
                  <c:v>9</c:v>
                </c:pt>
              </c:numCache>
            </c:numRef>
          </c:xVal>
          <c:yVal>
            <c:numRef>
              <c:f>Sheet1!$C$2:$C$10</c:f>
              <c:numCache>
                <c:formatCode>General</c:formatCode>
                <c:ptCount val="9"/>
                <c:pt idx="0">
                  <c:v>37</c:v>
                </c:pt>
                <c:pt idx="1">
                  <c:v>17</c:v>
                </c:pt>
                <c:pt idx="2">
                  <c:v>17</c:v>
                </c:pt>
                <c:pt idx="3">
                  <c:v>24</c:v>
                </c:pt>
                <c:pt idx="4">
                  <c:v>12</c:v>
                </c:pt>
                <c:pt idx="5">
                  <c:v>20</c:v>
                </c:pt>
                <c:pt idx="6">
                  <c:v>21</c:v>
                </c:pt>
                <c:pt idx="7">
                  <c:v>17</c:v>
                </c:pt>
                <c:pt idx="8">
                  <c:v>21</c:v>
                </c:pt>
              </c:numCache>
            </c:numRef>
          </c:yVal>
          <c:smooth val="1"/>
        </c:ser>
        <c:dLbls>
          <c:showLegendKey val="0"/>
          <c:showVal val="0"/>
          <c:showCatName val="0"/>
          <c:showSerName val="0"/>
          <c:showPercent val="0"/>
          <c:showBubbleSize val="0"/>
        </c:dLbls>
        <c:axId val="106146432"/>
        <c:axId val="82334464"/>
      </c:scatterChart>
      <c:valAx>
        <c:axId val="106146432"/>
        <c:scaling>
          <c:orientation val="minMax"/>
          <c:max val="11"/>
        </c:scaling>
        <c:delete val="0"/>
        <c:axPos val="b"/>
        <c:title>
          <c:tx>
            <c:rich>
              <a:bodyPr/>
              <a:lstStyle/>
              <a:p>
                <a:pPr>
                  <a:defRPr/>
                </a:pPr>
                <a:r>
                  <a:rPr lang="en-GB"/>
                  <a:t>Week</a:t>
                </a:r>
                <a:r>
                  <a:rPr lang="en-GB" baseline="0"/>
                  <a:t> Number</a:t>
                </a:r>
                <a:endParaRPr lang="en-GB"/>
              </a:p>
            </c:rich>
          </c:tx>
          <c:layout/>
          <c:overlay val="0"/>
        </c:title>
        <c:numFmt formatCode="General" sourceLinked="1"/>
        <c:majorTickMark val="out"/>
        <c:minorTickMark val="none"/>
        <c:tickLblPos val="nextTo"/>
        <c:crossAx val="82334464"/>
        <c:crosses val="autoZero"/>
        <c:crossBetween val="midCat"/>
        <c:majorUnit val="1"/>
      </c:valAx>
      <c:valAx>
        <c:axId val="82334464"/>
        <c:scaling>
          <c:orientation val="minMax"/>
        </c:scaling>
        <c:delete val="0"/>
        <c:axPos val="l"/>
        <c:title>
          <c:tx>
            <c:rich>
              <a:bodyPr rot="-5400000" vert="horz"/>
              <a:lstStyle/>
              <a:p>
                <a:pPr>
                  <a:defRPr/>
                </a:pPr>
                <a:r>
                  <a:rPr lang="en-GB"/>
                  <a:t>Attendance</a:t>
                </a:r>
                <a:r>
                  <a:rPr lang="en-GB" baseline="0"/>
                  <a:t> (Number of attendees)</a:t>
                </a:r>
                <a:endParaRPr lang="en-GB"/>
              </a:p>
            </c:rich>
          </c:tx>
          <c:layout/>
          <c:overlay val="0"/>
        </c:title>
        <c:numFmt formatCode="General" sourceLinked="1"/>
        <c:majorTickMark val="out"/>
        <c:minorTickMark val="none"/>
        <c:tickLblPos val="nextTo"/>
        <c:crossAx val="106146432"/>
        <c:crosses val="autoZero"/>
        <c:crossBetween val="midCat"/>
      </c:valAx>
    </c:plotArea>
    <c:legend>
      <c:legendPos val="r"/>
      <c:legendEntry>
        <c:idx val="2"/>
        <c:delete val="1"/>
      </c:legendEntry>
      <c:legendEntry>
        <c:idx val="3"/>
        <c:delete val="1"/>
      </c:legendEntry>
      <c:layout>
        <c:manualLayout>
          <c:xMode val="edge"/>
          <c:yMode val="edge"/>
          <c:x val="0.74868341609780842"/>
          <c:y val="5.2723824103831196E-2"/>
          <c:w val="0.19503696295044043"/>
          <c:h val="0.14860755432733166"/>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0.10155</cdr:x>
      <cdr:y>0.56236</cdr:y>
    </cdr:from>
    <cdr:to>
      <cdr:x>0.96219</cdr:x>
      <cdr:y>0.56236</cdr:y>
    </cdr:to>
    <cdr:cxnSp macro="">
      <cdr:nvCxnSpPr>
        <cdr:cNvPr id="2" name="Straight Connector 1"/>
        <cdr:cNvCxnSpPr/>
      </cdr:nvCxnSpPr>
      <cdr:spPr>
        <a:xfrm xmlns:a="http://schemas.openxmlformats.org/drawingml/2006/main">
          <a:off x="609671" y="1998310"/>
          <a:ext cx="5167223" cy="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BA"/>
    <w:rsid w:val="000E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E38A8B5EF4F00A19498D8B4935B90">
    <w:name w:val="B95E38A8B5EF4F00A19498D8B4935B90"/>
    <w:rsid w:val="000E2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E38A8B5EF4F00A19498D8B4935B90">
    <w:name w:val="B95E38A8B5EF4F00A19498D8B4935B90"/>
    <w:rsid w:val="000E2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Janine White</cp:lastModifiedBy>
  <cp:revision>2</cp:revision>
  <dcterms:created xsi:type="dcterms:W3CDTF">2012-12-21T15:03:00Z</dcterms:created>
  <dcterms:modified xsi:type="dcterms:W3CDTF">2012-12-21T15:03:00Z</dcterms:modified>
</cp:coreProperties>
</file>